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57" w:rsidRDefault="00D53057" w:rsidP="00D53057">
      <w:pPr>
        <w:rPr>
          <w:rFonts w:eastAsia="Verdana" w:cs="Verdana"/>
          <w:b/>
          <w:bCs/>
          <w:sz w:val="16"/>
          <w:szCs w:val="16"/>
        </w:rPr>
      </w:pPr>
      <w:r>
        <w:rPr>
          <w:rFonts w:eastAsia="Verdana" w:cs="Verdana"/>
          <w:b/>
          <w:bCs/>
          <w:noProof/>
          <w:sz w:val="16"/>
          <w:szCs w:val="16"/>
        </w:rPr>
        <w:t xml:space="preserve"> 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9810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Verdana"/>
          <w:b/>
          <w:bCs/>
          <w:noProof/>
          <w:sz w:val="16"/>
          <w:szCs w:val="16"/>
        </w:rPr>
        <w:t xml:space="preserve">                 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1009650" cy="5334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Verdana"/>
          <w:b/>
          <w:bCs/>
          <w:noProof/>
          <w:sz w:val="16"/>
          <w:szCs w:val="16"/>
        </w:rPr>
        <w:t xml:space="preserve">                </w:t>
      </w:r>
      <w:r>
        <w:object w:dxaOrig="3583" w:dyaOrig="1477">
          <v:rect id="rectole0000000000" o:spid="_x0000_i1025" style="width:93pt;height:48.75pt" o:ole="" o:preferrelative="t" stroked="f">
            <v:imagedata r:id="rId8" o:title=""/>
          </v:rect>
          <o:OLEObject Type="Embed" ProgID="StaticMetafile" ShapeID="rectole0000000000" DrawAspect="Content" ObjectID="_1516540980" r:id="rId9"/>
        </w:object>
      </w:r>
      <w:r>
        <w:rPr>
          <w:rFonts w:eastAsia="Verdana" w:cs="Verdana"/>
          <w:b/>
          <w:bCs/>
          <w:sz w:val="16"/>
          <w:szCs w:val="16"/>
        </w:rPr>
        <w:t xml:space="preserve">                    </w:t>
      </w:r>
      <w:r>
        <w:rPr>
          <w:rFonts w:eastAsia="Lucida Sans Unicode"/>
          <w:sz w:val="24"/>
          <w:szCs w:val="24"/>
        </w:rPr>
        <w:t xml:space="preserve">    </w:t>
      </w:r>
      <w:r>
        <w:rPr>
          <w:rFonts w:eastAsia="Verdana" w:cs="Verdana"/>
          <w:b/>
          <w:bCs/>
          <w:sz w:val="16"/>
          <w:szCs w:val="16"/>
        </w:rPr>
        <w:t xml:space="preserve">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933450" cy="5143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3F" w:rsidRPr="005E15E4" w:rsidRDefault="00906AB5" w:rsidP="005E15E4">
      <w:pPr>
        <w:shd w:val="clear" w:color="auto" w:fill="FFFFFF"/>
        <w:spacing w:before="150" w:after="150" w:line="273" w:lineRule="atLeast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C85375">
        <w:rPr>
          <w:rFonts w:ascii="Times New Roman" w:eastAsia="Times New Roman" w:hAnsi="Times New Roman" w:cs="Times New Roman"/>
          <w:b/>
          <w:bCs/>
          <w:color w:val="2E4B9B"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81.5pt;height:1in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Venerdì 12 Febbraio p.za Prefettura a Bari"/>
          </v:shape>
        </w:pict>
      </w:r>
      <w:r w:rsidR="000C063F" w:rsidRPr="005E15E4">
        <w:rPr>
          <w:rFonts w:ascii="Verdana" w:eastAsia="Times New Roman" w:hAnsi="Verdana" w:cs="Times New Roman"/>
          <w:b/>
          <w:color w:val="1F497D" w:themeColor="text2"/>
          <w:sz w:val="21"/>
          <w:szCs w:val="21"/>
        </w:rPr>
        <w:t> </w:t>
      </w:r>
      <w:r w:rsidRPr="005E15E4">
        <w:rPr>
          <w:rFonts w:ascii="Verdana" w:eastAsia="Times New Roman" w:hAnsi="Verdana" w:cs="Times New Roman"/>
          <w:b/>
          <w:color w:val="1F497D" w:themeColor="text2"/>
          <w:sz w:val="21"/>
          <w:szCs w:val="21"/>
        </w:rPr>
        <w:t xml:space="preserve">SIT IN </w:t>
      </w:r>
      <w:r w:rsidR="005E15E4" w:rsidRPr="005E15E4">
        <w:rPr>
          <w:rFonts w:ascii="Verdana" w:eastAsia="Times New Roman" w:hAnsi="Verdana" w:cs="Times New Roman"/>
          <w:b/>
          <w:color w:val="1F497D" w:themeColor="text2"/>
          <w:sz w:val="21"/>
          <w:szCs w:val="21"/>
        </w:rPr>
        <w:t>PER L</w:t>
      </w:r>
      <w:r w:rsidRPr="005E15E4">
        <w:rPr>
          <w:rFonts w:ascii="Verdana" w:eastAsia="Times New Roman" w:hAnsi="Verdana" w:cs="Times New Roman"/>
          <w:b/>
          <w:color w:val="1F497D" w:themeColor="text2"/>
          <w:sz w:val="21"/>
          <w:szCs w:val="21"/>
        </w:rPr>
        <w:t>A DIFESA DEI DOCENTI PRECARI ABILITATI</w:t>
      </w:r>
    </w:p>
    <w:p w:rsidR="000C063F" w:rsidRPr="000C063F" w:rsidRDefault="007A0B99" w:rsidP="000C063F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Le Segreteria Nazionali di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Flc Cgil, Cisl </w:t>
      </w:r>
      <w:r w:rsidR="008C3C63">
        <w:rPr>
          <w:rFonts w:ascii="Verdana" w:eastAsia="Times New Roman" w:hAnsi="Verdana" w:cs="Times New Roman"/>
          <w:color w:val="000000"/>
          <w:sz w:val="21"/>
          <w:szCs w:val="21"/>
        </w:rPr>
        <w:t>S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cuola, Uil </w:t>
      </w:r>
      <w:r w:rsidR="008C3C63">
        <w:rPr>
          <w:rFonts w:ascii="Verdana" w:eastAsia="Times New Roman" w:hAnsi="Verdana" w:cs="Times New Roman"/>
          <w:color w:val="000000"/>
          <w:sz w:val="21"/>
          <w:szCs w:val="21"/>
        </w:rPr>
        <w:t>S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cuola</w:t>
      </w:r>
      <w:r w:rsidR="00246CAE">
        <w:rPr>
          <w:rFonts w:ascii="Verdana" w:eastAsia="Times New Roman" w:hAnsi="Verdana" w:cs="Times New Roman"/>
          <w:color w:val="000000"/>
          <w:sz w:val="21"/>
          <w:szCs w:val="21"/>
        </w:rPr>
        <w:t xml:space="preserve"> e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Snals Confsal</w:t>
      </w:r>
      <w:r w:rsidR="00246CA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promuov</w:t>
      </w:r>
      <w:r w:rsid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ono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e sosten</w:t>
      </w:r>
      <w:r w:rsidR="000C063F">
        <w:rPr>
          <w:rFonts w:ascii="Verdana" w:eastAsia="Times New Roman" w:hAnsi="Verdana" w:cs="Times New Roman"/>
          <w:color w:val="000000"/>
          <w:sz w:val="21"/>
          <w:szCs w:val="21"/>
        </w:rPr>
        <w:t>gono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per</w:t>
      </w:r>
      <w:r w:rsid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0C063F"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venerdì 12 febbraio</w:t>
      </w:r>
      <w:r w:rsidR="000C063F"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p.v. una giornata di mobilitazione in difesa dei</w:t>
      </w:r>
      <w:r w:rsidR="000C063F"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="000C063F"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diritti dei precari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. </w:t>
      </w:r>
    </w:p>
    <w:p w:rsidR="000C063F" w:rsidRPr="000C063F" w:rsidRDefault="000C063F" w:rsidP="000C063F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L’iniziativa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diventa inevitabile causa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la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totale assenza di confronto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 tra M</w:t>
      </w:r>
      <w:r w:rsidR="007A0B99">
        <w:rPr>
          <w:rFonts w:ascii="Verdana" w:eastAsia="Times New Roman" w:hAnsi="Verdana" w:cs="Times New Roman"/>
          <w:color w:val="000000"/>
          <w:sz w:val="21"/>
          <w:szCs w:val="21"/>
        </w:rPr>
        <w:t>IUR ed OO.SS.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in particolare 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su un tema, l’annunciato bando del concorso, che non può essere affrontato ignorando la realtà di un precariato al quale la legge 107</w:t>
      </w:r>
      <w:r w:rsidR="00B31DB5">
        <w:rPr>
          <w:rFonts w:ascii="Verdana" w:eastAsia="Times New Roman" w:hAnsi="Verdana" w:cs="Times New Roman"/>
          <w:color w:val="000000"/>
          <w:sz w:val="21"/>
          <w:szCs w:val="21"/>
        </w:rPr>
        <w:t>, la cosiddetta “Buona Scuola”,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non ha dato le risposte che il Governo aveva assunto come suo preciso impegno. </w:t>
      </w:r>
    </w:p>
    <w:p w:rsidR="000C063F" w:rsidRPr="000C063F" w:rsidRDefault="000C063F" w:rsidP="000C063F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Un precariato fatto di docenti in servizio da anni, che hanno conseguito una costosa abilitazione</w:t>
      </w:r>
      <w:r w:rsidR="00B31DB5">
        <w:rPr>
          <w:rFonts w:ascii="Verdana" w:eastAsia="Times New Roman" w:hAnsi="Verdana" w:cs="Times New Roman"/>
          <w:color w:val="000000"/>
          <w:sz w:val="21"/>
          <w:szCs w:val="21"/>
        </w:rPr>
        <w:t xml:space="preserve"> (es. TFA e PAS)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, conciliando a fatica il lavoro a scuola con le esigenze personali e familiari, spesso costretti a trasferirsi in altra regione pur di avere un contratto a tempo determinato; di docenti della scuola dell’infanzia, vincitrici di concorso e/o inserite in GAE, ingiustamente estromesse dal piano nazionale di assunzioni col pretesto di dovere attendere l’attuazione del percorso 0-6, smentito dalla legge di stabilità; di docenti cui è stata preclusa dal MIUR la possibilità di conseguire abilitazioni per TFA non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ancora 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attivati.</w:t>
      </w:r>
    </w:p>
    <w:p w:rsidR="000C063F" w:rsidRPr="000C063F" w:rsidRDefault="000C063F" w:rsidP="000C063F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La sentenza della Corte </w:t>
      </w:r>
      <w:r w:rsidR="007A0B99">
        <w:rPr>
          <w:rFonts w:ascii="Verdana" w:eastAsia="Times New Roman" w:hAnsi="Verdana" w:cs="Times New Roman"/>
          <w:color w:val="000000"/>
          <w:sz w:val="21"/>
          <w:szCs w:val="21"/>
        </w:rPr>
        <w:t>E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uropea del novembre 2014 ha ribadito il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diritto alla stabilizzazione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dei lavoratori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che abbiano avuto un contratto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a tempo determinato per più di tre anni,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cio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nonostante si lascia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loro quale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unica opportunità quella di partecipare a un concorso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, in rapporto al quale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non viene adeguatamente riconosciuto il valore del servizio svolto.</w:t>
      </w:r>
    </w:p>
    <w:p w:rsidR="000C063F" w:rsidRPr="000C063F" w:rsidRDefault="000C063F" w:rsidP="008C3C63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Il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concorso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resta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- 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in linea di principio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- 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lo strumento da utilizzare per l’accesso al lavoro pubblico, garantendo ai concorrenti trasparenza ed equità; ma quello annunciato rischia di rivelarsi</w:t>
      </w:r>
      <w:r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Pr="000C063F"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inopportuno per </w:t>
      </w:r>
      <w:r w:rsidR="008C3C63">
        <w:rPr>
          <w:rFonts w:ascii="Verdana" w:eastAsia="Times New Roman" w:hAnsi="Verdana" w:cs="Times New Roman"/>
          <w:b/>
          <w:bCs/>
          <w:color w:val="000000"/>
          <w:sz w:val="21"/>
        </w:rPr>
        <w:t>tempi e modi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, in un contesto di criticità </w:t>
      </w:r>
      <w:r w:rsidR="008C3C63">
        <w:rPr>
          <w:rFonts w:ascii="Verdana" w:eastAsia="Times New Roman" w:hAnsi="Verdana" w:cs="Times New Roman"/>
          <w:color w:val="000000"/>
          <w:sz w:val="21"/>
          <w:szCs w:val="21"/>
        </w:rPr>
        <w:t>irrisolte</w:t>
      </w:r>
      <w:r w:rsidRPr="000C063F">
        <w:rPr>
          <w:rFonts w:ascii="Verdana" w:eastAsia="Times New Roman" w:hAnsi="Verdana" w:cs="Times New Roman"/>
          <w:color w:val="000000"/>
          <w:sz w:val="21"/>
          <w:szCs w:val="21"/>
        </w:rPr>
        <w:t>, di impegni disattesi, di obiettivi mancati, di diritti negati: una situazione che rende facilmente  prevedibile e inevitabile il moltiplicarsi di occasioni di contenzioso.</w:t>
      </w:r>
    </w:p>
    <w:p w:rsidR="000C063F" w:rsidRPr="000C063F" w:rsidRDefault="008C3C63" w:rsidP="008C62C6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I sindacati</w:t>
      </w:r>
      <w:r w:rsidR="007A0B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chiedono l’immediata</w:t>
      </w:r>
      <w:r w:rsidR="000C063F"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="000C063F"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apertura di un tavolo di confronto</w:t>
      </w:r>
      <w:r w:rsidR="00EB3726"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 e concretamente risolutorio </w:t>
      </w:r>
      <w:r w:rsidR="000C063F"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="008C62C6">
        <w:rPr>
          <w:rFonts w:ascii="Verdana" w:eastAsia="Times New Roman" w:hAnsi="Verdana" w:cs="Times New Roman"/>
          <w:color w:val="000000"/>
          <w:sz w:val="21"/>
        </w:rPr>
        <w:t xml:space="preserve">in cui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valorizzare la professionalità di quanti, per anni, hanno consentito di far fronte alle ordinarie esigenze di funzionamento del sistema scolastico. Ciò può avvenire sia intervenendo sulle</w:t>
      </w:r>
      <w:r w:rsidR="008C62C6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0C063F" w:rsidRPr="000C063F">
        <w:rPr>
          <w:rFonts w:ascii="Verdana" w:eastAsia="Times New Roman" w:hAnsi="Verdana" w:cs="Times New Roman"/>
          <w:b/>
          <w:bCs/>
          <w:color w:val="000000"/>
          <w:sz w:val="21"/>
        </w:rPr>
        <w:t>modalità di svolgimento delle prove</w:t>
      </w:r>
      <w:r w:rsidR="000C063F" w:rsidRPr="000C063F">
        <w:rPr>
          <w:rFonts w:ascii="Verdana" w:eastAsia="Times New Roman" w:hAnsi="Verdana" w:cs="Times New Roman"/>
          <w:color w:val="000000"/>
          <w:sz w:val="21"/>
        </w:rPr>
        <w:t> 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concorsuali (facoltatività di alcune di esse a determinate condizioni, giusto bilanciamento nella valutazione dei titoli, ecc.), sia su un’</w:t>
      </w:r>
      <w:r w:rsidR="000C063F" w:rsidRPr="000C063F"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articolazione dei piani </w:t>
      </w:r>
      <w:r w:rsidR="008C62C6"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di assunzione 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>volta ad agevolare la stabilizzazione delle residue aree di precariato ricorrente.</w:t>
      </w:r>
    </w:p>
    <w:p w:rsidR="007A0B99" w:rsidRDefault="008C62C6" w:rsidP="004A1A53">
      <w:pPr>
        <w:shd w:val="clear" w:color="auto" w:fill="FFFFFF"/>
        <w:spacing w:before="150" w:after="150" w:line="273" w:lineRule="atLeast"/>
        <w:ind w:left="-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La</w:t>
      </w:r>
      <w:r w:rsidR="000C063F" w:rsidRPr="000C063F">
        <w:rPr>
          <w:rFonts w:ascii="Verdana" w:eastAsia="Times New Roman" w:hAnsi="Verdana" w:cs="Times New Roman"/>
          <w:color w:val="000000"/>
          <w:sz w:val="21"/>
          <w:szCs w:val="21"/>
        </w:rPr>
        <w:t xml:space="preserve"> giornata di mobilitazione del personale precario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del </w:t>
      </w:r>
      <w:r w:rsidRPr="00D53057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12 febbraio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si concluderà con la stesura di un documento che sarà consegnato al Prefetto d</w:t>
      </w:r>
      <w:r w:rsidR="007A0B99">
        <w:rPr>
          <w:rFonts w:ascii="Verdana" w:eastAsia="Times New Roman" w:hAnsi="Verdana" w:cs="Times New Roman"/>
          <w:color w:val="000000"/>
          <w:sz w:val="21"/>
          <w:szCs w:val="21"/>
        </w:rPr>
        <w:t>i ciascun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capoluogo.</w:t>
      </w:r>
    </w:p>
    <w:p w:rsidR="004C2482" w:rsidRDefault="007A0B99" w:rsidP="004C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ind w:left="-284"/>
        <w:jc w:val="center"/>
        <w:rPr>
          <w:rFonts w:ascii="Verdana" w:hAnsi="Verdana"/>
          <w:b/>
          <w:color w:val="FF0000"/>
          <w:sz w:val="21"/>
          <w:szCs w:val="21"/>
        </w:rPr>
      </w:pPr>
      <w:r w:rsidRPr="00A16B87">
        <w:rPr>
          <w:rFonts w:ascii="Verdana" w:eastAsia="Times New Roman" w:hAnsi="Verdana" w:cs="Times New Roman"/>
          <w:b/>
          <w:color w:val="FF0000"/>
          <w:sz w:val="21"/>
          <w:szCs w:val="21"/>
        </w:rPr>
        <w:t>I sindacati provinciali Flc Cgil, Cisl Scuola, Uil Scuola e Snals Confsal</w:t>
      </w:r>
      <w:r w:rsidR="004A1A53" w:rsidRPr="00A16B87">
        <w:rPr>
          <w:rFonts w:ascii="Verdana" w:hAnsi="Verdana"/>
          <w:b/>
          <w:color w:val="FF0000"/>
          <w:sz w:val="21"/>
          <w:szCs w:val="21"/>
        </w:rPr>
        <w:t xml:space="preserve"> </w:t>
      </w:r>
      <w:r w:rsidRPr="00A16B87">
        <w:rPr>
          <w:rFonts w:ascii="Verdana" w:hAnsi="Verdana"/>
          <w:b/>
          <w:color w:val="FF0000"/>
          <w:sz w:val="21"/>
          <w:szCs w:val="21"/>
        </w:rPr>
        <w:t xml:space="preserve">invitano tutti i docenti precari a raggiungere il presidio territoriale </w:t>
      </w:r>
    </w:p>
    <w:p w:rsidR="004C2482" w:rsidRDefault="00A16B87" w:rsidP="004C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ind w:left="-284"/>
        <w:jc w:val="center"/>
        <w:rPr>
          <w:rFonts w:ascii="Verdana" w:hAnsi="Verdana"/>
          <w:b/>
          <w:color w:val="FF0000"/>
          <w:sz w:val="21"/>
          <w:szCs w:val="21"/>
        </w:rPr>
      </w:pPr>
      <w:r w:rsidRPr="00A16B87">
        <w:rPr>
          <w:rFonts w:ascii="Verdana" w:hAnsi="Verdana"/>
          <w:b/>
          <w:color w:val="FF0000"/>
          <w:sz w:val="21"/>
          <w:szCs w:val="21"/>
        </w:rPr>
        <w:t xml:space="preserve">Venerdì 12 Febbraio </w:t>
      </w:r>
      <w:r w:rsidR="004C2482">
        <w:rPr>
          <w:rFonts w:ascii="Verdana" w:hAnsi="Verdana"/>
          <w:b/>
          <w:color w:val="FF0000"/>
          <w:sz w:val="21"/>
          <w:szCs w:val="21"/>
        </w:rPr>
        <w:t>-</w:t>
      </w:r>
      <w:r w:rsidR="007A0B99" w:rsidRPr="00A16B87">
        <w:rPr>
          <w:rFonts w:ascii="Verdana" w:hAnsi="Verdana"/>
          <w:b/>
          <w:color w:val="FF0000"/>
          <w:sz w:val="21"/>
          <w:szCs w:val="21"/>
        </w:rPr>
        <w:t xml:space="preserve"> C.so Vittorio Emanuele a Bari dalle ore 16,30 alle ore 18,30 </w:t>
      </w:r>
    </w:p>
    <w:p w:rsidR="004A1A53" w:rsidRPr="00A16B87" w:rsidRDefault="004C2482" w:rsidP="004C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ind w:left="-284"/>
        <w:jc w:val="center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/>
          <w:b/>
          <w:color w:val="FF0000"/>
          <w:sz w:val="21"/>
          <w:szCs w:val="21"/>
        </w:rPr>
        <w:t>(</w:t>
      </w:r>
      <w:r w:rsidR="007A0B99" w:rsidRPr="00A16B87">
        <w:rPr>
          <w:rFonts w:ascii="Verdana" w:hAnsi="Verdana"/>
          <w:b/>
          <w:color w:val="FF0000"/>
          <w:sz w:val="21"/>
          <w:szCs w:val="21"/>
        </w:rPr>
        <w:t>piazzale antistante la Prefettura</w:t>
      </w:r>
      <w:r>
        <w:rPr>
          <w:rFonts w:ascii="Verdana" w:hAnsi="Verdana"/>
          <w:b/>
          <w:color w:val="FF0000"/>
          <w:sz w:val="21"/>
          <w:szCs w:val="21"/>
        </w:rPr>
        <w:t>)</w:t>
      </w:r>
    </w:p>
    <w:p w:rsidR="003071C6" w:rsidRDefault="003071C6" w:rsidP="003071C6">
      <w:pPr>
        <w:rPr>
          <w:rFonts w:eastAsia="Verdana" w:cs="Verdana"/>
          <w:b/>
          <w:bCs/>
          <w:sz w:val="16"/>
          <w:szCs w:val="16"/>
        </w:rPr>
      </w:pPr>
      <w:r>
        <w:rPr>
          <w:rFonts w:eastAsia="Verdana" w:cs="Verdana"/>
          <w:b/>
          <w:bCs/>
          <w:noProof/>
          <w:sz w:val="16"/>
          <w:szCs w:val="16"/>
        </w:rPr>
        <w:lastRenderedPageBreak/>
        <w:t xml:space="preserve"> 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981075" cy="53340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Verdana"/>
          <w:b/>
          <w:bCs/>
          <w:noProof/>
          <w:sz w:val="16"/>
          <w:szCs w:val="16"/>
        </w:rPr>
        <w:t xml:space="preserve">                 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1009650" cy="533400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Verdana"/>
          <w:b/>
          <w:bCs/>
          <w:noProof/>
          <w:sz w:val="16"/>
          <w:szCs w:val="16"/>
        </w:rPr>
        <w:t xml:space="preserve">                </w:t>
      </w:r>
      <w:r>
        <w:object w:dxaOrig="3583" w:dyaOrig="1477">
          <v:rect id="_x0000_i1027" style="width:93pt;height:48.75pt" o:ole="" o:preferrelative="t" stroked="f">
            <v:imagedata r:id="rId8" o:title=""/>
          </v:rect>
          <o:OLEObject Type="Embed" ProgID="StaticMetafile" ShapeID="_x0000_i1027" DrawAspect="Content" ObjectID="_1516540981" r:id="rId11"/>
        </w:object>
      </w:r>
      <w:r>
        <w:rPr>
          <w:rFonts w:eastAsia="Verdana" w:cs="Verdana"/>
          <w:b/>
          <w:bCs/>
          <w:sz w:val="16"/>
          <w:szCs w:val="16"/>
        </w:rPr>
        <w:t xml:space="preserve">                    </w:t>
      </w:r>
      <w:r>
        <w:rPr>
          <w:rFonts w:eastAsia="Lucida Sans Unicode"/>
          <w:sz w:val="24"/>
          <w:szCs w:val="24"/>
        </w:rPr>
        <w:t xml:space="preserve">    </w:t>
      </w:r>
      <w:r>
        <w:rPr>
          <w:rFonts w:eastAsia="Verdana" w:cs="Verdana"/>
          <w:b/>
          <w:bCs/>
          <w:sz w:val="16"/>
          <w:szCs w:val="16"/>
        </w:rPr>
        <w:t xml:space="preserve">   </w:t>
      </w:r>
      <w:r>
        <w:rPr>
          <w:rFonts w:eastAsia="Verdana" w:cs="Verdana"/>
          <w:b/>
          <w:bCs/>
          <w:noProof/>
          <w:sz w:val="16"/>
          <w:szCs w:val="16"/>
        </w:rPr>
        <w:drawing>
          <wp:inline distT="0" distB="0" distL="0" distR="0">
            <wp:extent cx="933450" cy="514350"/>
            <wp:effectExtent l="19050" t="0" r="0" b="0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C6" w:rsidRDefault="003071C6" w:rsidP="002B4074">
      <w:pPr>
        <w:shd w:val="clear" w:color="auto" w:fill="FFFFFF"/>
        <w:spacing w:before="150" w:after="150" w:line="273" w:lineRule="atLeast"/>
        <w:ind w:left="-284"/>
        <w:jc w:val="both"/>
      </w:pPr>
    </w:p>
    <w:p w:rsidR="00C349FE" w:rsidRPr="00FE66B6" w:rsidRDefault="00C349FE" w:rsidP="00FE66B6">
      <w:pPr>
        <w:shd w:val="clear" w:color="auto" w:fill="FFFFFF"/>
        <w:spacing w:before="150" w:after="150" w:line="273" w:lineRule="atLeast"/>
        <w:ind w:left="-284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FE66B6">
        <w:rPr>
          <w:rFonts w:ascii="Comic Sans MS" w:hAnsi="Comic Sans MS"/>
          <w:b/>
          <w:color w:val="0070C0"/>
          <w:sz w:val="36"/>
          <w:szCs w:val="36"/>
        </w:rPr>
        <w:t xml:space="preserve">MOBILITAZIONE </w:t>
      </w:r>
      <w:r w:rsidR="00FE66B6" w:rsidRPr="00FE66B6">
        <w:rPr>
          <w:rFonts w:ascii="Comic Sans MS" w:hAnsi="Comic Sans MS"/>
          <w:b/>
          <w:color w:val="0070C0"/>
          <w:sz w:val="36"/>
          <w:szCs w:val="36"/>
        </w:rPr>
        <w:t xml:space="preserve">PROVINCIALE </w:t>
      </w:r>
      <w:r w:rsidRPr="00FE66B6">
        <w:rPr>
          <w:rFonts w:ascii="Comic Sans MS" w:hAnsi="Comic Sans MS"/>
          <w:b/>
          <w:color w:val="0070C0"/>
          <w:sz w:val="36"/>
          <w:szCs w:val="36"/>
        </w:rPr>
        <w:t>DOCENTI PRECARI</w:t>
      </w:r>
    </w:p>
    <w:p w:rsidR="00FE66B6" w:rsidRPr="00FE66B6" w:rsidRDefault="00FE66B6" w:rsidP="00FE66B6">
      <w:pPr>
        <w:shd w:val="clear" w:color="auto" w:fill="FFFFFF"/>
        <w:spacing w:before="150" w:after="150" w:line="273" w:lineRule="atLeast"/>
        <w:ind w:left="-284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FE66B6">
        <w:rPr>
          <w:rFonts w:ascii="Comic Sans MS" w:hAnsi="Comic Sans MS"/>
          <w:b/>
          <w:color w:val="0070C0"/>
          <w:sz w:val="36"/>
          <w:szCs w:val="36"/>
        </w:rPr>
        <w:t>Venerdì 12 Febbraio</w:t>
      </w:r>
      <w:r>
        <w:rPr>
          <w:rFonts w:ascii="Comic Sans MS" w:hAnsi="Comic Sans MS"/>
          <w:b/>
          <w:color w:val="0070C0"/>
          <w:sz w:val="36"/>
          <w:szCs w:val="36"/>
        </w:rPr>
        <w:t xml:space="preserve"> 2016</w:t>
      </w:r>
      <w:r w:rsidR="00ED09DA">
        <w:rPr>
          <w:rFonts w:ascii="Comic Sans MS" w:hAnsi="Comic Sans MS"/>
          <w:b/>
          <w:color w:val="0070C0"/>
          <w:sz w:val="36"/>
          <w:szCs w:val="36"/>
        </w:rPr>
        <w:t xml:space="preserve"> ore 16,30</w:t>
      </w:r>
    </w:p>
    <w:p w:rsidR="00FE66B6" w:rsidRPr="00FE66B6" w:rsidRDefault="00FE66B6" w:rsidP="00FE66B6">
      <w:pPr>
        <w:shd w:val="clear" w:color="auto" w:fill="FFFFFF"/>
        <w:spacing w:before="150" w:after="150" w:line="273" w:lineRule="atLeast"/>
        <w:ind w:left="-284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FE66B6">
        <w:rPr>
          <w:rFonts w:ascii="Comic Sans MS" w:hAnsi="Comic Sans MS"/>
          <w:b/>
          <w:color w:val="0070C0"/>
          <w:sz w:val="36"/>
          <w:szCs w:val="36"/>
        </w:rPr>
        <w:t>p.za Prefettura - Bari</w:t>
      </w:r>
    </w:p>
    <w:p w:rsidR="003071C6" w:rsidRPr="00FE66B6" w:rsidRDefault="00317877" w:rsidP="002B4074">
      <w:pPr>
        <w:shd w:val="clear" w:color="auto" w:fill="FFFFFF"/>
        <w:spacing w:before="150" w:after="150" w:line="273" w:lineRule="atLeast"/>
        <w:ind w:left="-284"/>
        <w:jc w:val="both"/>
        <w:rPr>
          <w:rFonts w:ascii="Comic Sans MS" w:hAnsi="Comic Sans MS"/>
        </w:rPr>
      </w:pPr>
      <w:r>
        <w:rPr>
          <w:noProof/>
        </w:rPr>
        <w:t xml:space="preserve">        </w:t>
      </w:r>
      <w:r w:rsidR="00C85375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233.25pt;height:13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iritto al ruolo"/>
          </v:shape>
        </w:pict>
      </w:r>
      <w:r w:rsidR="00DB7C02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657475" cy="1724025"/>
            <wp:effectExtent l="19050" t="0" r="9525" b="0"/>
            <wp:docPr id="22" name="Immagine 22" descr="Risultati immagini per immagini docent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ultati immagini per immagini docenti scuol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C6" w:rsidRPr="00DB7C02" w:rsidRDefault="00DB7C02" w:rsidP="001F219B">
      <w:pPr>
        <w:shd w:val="clear" w:color="auto" w:fill="FFFFFF"/>
        <w:spacing w:before="150" w:after="150" w:line="273" w:lineRule="atLeast"/>
        <w:ind w:left="-284"/>
        <w:jc w:val="center"/>
        <w:rPr>
          <w:rFonts w:ascii="Lucida Handwriting" w:hAnsi="Lucida Handwriting"/>
          <w:b/>
          <w:color w:val="365F91" w:themeColor="accent1" w:themeShade="BF"/>
        </w:rPr>
      </w:pPr>
      <w:r w:rsidRPr="00DB7C02">
        <w:rPr>
          <w:rFonts w:ascii="Lucida Handwriting" w:hAnsi="Lucida Handwriting"/>
          <w:b/>
          <w:color w:val="365F91" w:themeColor="accent1" w:themeShade="BF"/>
        </w:rPr>
        <w:t xml:space="preserve">“Il ruolo: ma quando? </w:t>
      </w:r>
      <w:r w:rsidR="001F219B" w:rsidRPr="00DB7C02">
        <w:rPr>
          <w:rFonts w:ascii="Lucida Handwriting" w:hAnsi="Lucida Handwriting"/>
          <w:b/>
          <w:color w:val="365F91" w:themeColor="accent1" w:themeShade="BF"/>
        </w:rPr>
        <w:t>Il Governo ci tratta da burattini, non da persone e cittadini che vogliono risposte</w:t>
      </w:r>
      <w:r w:rsidRPr="00DB7C02">
        <w:rPr>
          <w:rFonts w:ascii="Lucida Handwriting" w:hAnsi="Lucida Handwriting"/>
          <w:b/>
          <w:color w:val="365F91" w:themeColor="accent1" w:themeShade="BF"/>
        </w:rPr>
        <w:t>”</w:t>
      </w:r>
    </w:p>
    <w:p w:rsidR="001F219B" w:rsidRDefault="00C85375" w:rsidP="001F219B">
      <w:pPr>
        <w:shd w:val="clear" w:color="auto" w:fill="FFFFFF"/>
        <w:spacing w:before="150" w:after="150" w:line="273" w:lineRule="atLeast"/>
        <w:ind w:left="-284"/>
        <w:jc w:val="center"/>
        <w:rPr>
          <w:b/>
        </w:rPr>
      </w:pPr>
      <w:r w:rsidRPr="00C8537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7.8pt;margin-top:10.1pt;width:191.95pt;height:95.15pt;z-index:251666432;mso-width-percent:400;mso-height-percent:200;mso-width-percent:400;mso-height-percent:200;mso-width-relative:margin;mso-height-relative:margin" fillcolor="#ccc0d9 [1303]">
            <v:textbox style="mso-fit-shape-to-text:t">
              <w:txbxContent>
                <w:p w:rsidR="004C5F12" w:rsidRPr="00530F55" w:rsidRDefault="004C5F12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>Come: Le graduatorie del nuovo concorso sostituiranno le graduatorie del concorso 2012 per classi di concorso per le quali il bando prevederà i posti</w:t>
                  </w:r>
                </w:p>
              </w:txbxContent>
            </v:textbox>
          </v:shape>
        </w:pict>
      </w:r>
    </w:p>
    <w:p w:rsidR="001F219B" w:rsidRPr="006A5257" w:rsidRDefault="00C85375" w:rsidP="001F219B">
      <w:pPr>
        <w:shd w:val="clear" w:color="auto" w:fill="FFFFFF"/>
        <w:spacing w:before="150" w:after="150" w:line="273" w:lineRule="atLeast"/>
        <w:ind w:left="-284"/>
        <w:jc w:val="center"/>
        <w:rPr>
          <w:b/>
        </w:rPr>
      </w:pPr>
      <w:r w:rsidRPr="00C85375">
        <w:rPr>
          <w:noProof/>
          <w:lang w:eastAsia="en-US"/>
        </w:rPr>
        <w:pict>
          <v:shape id="_x0000_s1031" type="#_x0000_t202" style="position:absolute;left:0;text-align:left;margin-left:49.65pt;margin-top:4.85pt;width:172.95pt;height:79.7pt;z-index:251660288;mso-height-percent:200;mso-height-percent:200;mso-width-relative:margin;mso-height-relative:margin" fillcolor="#b6dde8 [1304]">
            <v:textbox style="mso-fit-shape-to-text:t">
              <w:txbxContent>
                <w:p w:rsidR="007A0B99" w:rsidRPr="00530F55" w:rsidRDefault="004C5F12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>Chi: I docenti inseriti in GaE non assunti con il piano straordinario L. 107/’2015 per il ruolo dovranno partecipare al concorso</w:t>
                  </w:r>
                </w:p>
              </w:txbxContent>
            </v:textbox>
          </v:shape>
        </w:pict>
      </w:r>
    </w:p>
    <w:p w:rsidR="006A5257" w:rsidRDefault="006A5257" w:rsidP="006A5257">
      <w:pPr>
        <w:shd w:val="clear" w:color="auto" w:fill="FFFFFF"/>
        <w:spacing w:before="150" w:after="150" w:line="273" w:lineRule="atLeast"/>
        <w:ind w:left="-284"/>
        <w:jc w:val="center"/>
        <w:rPr>
          <w:b/>
        </w:rPr>
      </w:pPr>
    </w:p>
    <w:p w:rsidR="006A5257" w:rsidRDefault="006A5257" w:rsidP="00FE66B6">
      <w:pPr>
        <w:shd w:val="clear" w:color="auto" w:fill="FFFFFF"/>
        <w:spacing w:before="150" w:after="150" w:line="273" w:lineRule="atLeast"/>
        <w:ind w:left="-284"/>
        <w:rPr>
          <w:b/>
        </w:rPr>
      </w:pPr>
    </w:p>
    <w:p w:rsidR="00ED09DA" w:rsidRDefault="005E15E4" w:rsidP="008C4A9E">
      <w:pPr>
        <w:shd w:val="clear" w:color="auto" w:fill="FFFFFF"/>
        <w:spacing w:before="150" w:after="150" w:line="273" w:lineRule="atLeast"/>
        <w:ind w:left="-284"/>
        <w:jc w:val="center"/>
      </w:pPr>
      <w:r>
        <w:rPr>
          <w:noProof/>
          <w:lang w:eastAsia="en-US"/>
        </w:rPr>
        <w:pict>
          <v:shape id="_x0000_s1032" type="#_x0000_t202" style="position:absolute;left:0;text-align:left;margin-left:312.15pt;margin-top:37.5pt;width:191.1pt;height:79.7pt;z-index:251662336;mso-width-percent:400;mso-height-percent:200;mso-width-percent:400;mso-height-percent:200;mso-width-relative:margin;mso-height-relative:margin" fillcolor="#fabf8f [1945]">
            <v:textbox style="mso-fit-shape-to-text:t">
              <w:txbxContent>
                <w:p w:rsidR="004C5F12" w:rsidRPr="00530F55" w:rsidRDefault="004C5F12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>Quando: Annunciato per il 1° dicembre scorso, il bando slitta di settimana in settimana e prevede l’assunzione per 63.712 posti</w:t>
                  </w:r>
                </w:p>
              </w:txbxContent>
            </v:textbox>
          </v:shape>
        </w:pict>
      </w:r>
      <w:r w:rsidRPr="00C85375">
        <w:rPr>
          <w:rFonts w:ascii="Comic Sans MS" w:hAnsi="Comic Sans MS"/>
          <w:b/>
          <w:noProof/>
          <w:color w:val="0070C0"/>
          <w:sz w:val="36"/>
          <w:szCs w:val="36"/>
          <w:lang w:eastAsia="en-US"/>
        </w:rPr>
        <w:pict>
          <v:shape id="_x0000_s1035" type="#_x0000_t202" style="position:absolute;left:0;text-align:left;margin-left:3pt;margin-top:139.15pt;width:191.15pt;height:126.05pt;z-index:251668480;mso-width-percent:400;mso-height-percent:200;mso-width-percent:400;mso-height-percent:200;mso-width-relative:margin;mso-height-relative:margin" fillcolor="#92d050">
            <v:textbox style="mso-fit-shape-to-text:t">
              <w:txbxContent>
                <w:p w:rsidR="004C5F12" w:rsidRPr="00530F55" w:rsidRDefault="004C5F12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 xml:space="preserve">Dove: Docenti abilitati e non sostengono la scuola pubblica anche nell’anno in corso, in tutto il territorio nazionale, in controtendenza ai proclami del Governo che riteneva di dover abolito le supplenze con l’organico potenziato   </w:t>
                  </w:r>
                </w:p>
              </w:txbxContent>
            </v:textbox>
          </v:shape>
        </w:pict>
      </w:r>
      <w:r w:rsidR="00DB7C02">
        <w:rPr>
          <w:rFonts w:ascii="Comic Sans MS" w:hAnsi="Comic Sans MS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346710</wp:posOffset>
            </wp:positionV>
            <wp:extent cx="1549400" cy="1162050"/>
            <wp:effectExtent l="19050" t="0" r="0" b="0"/>
            <wp:wrapNone/>
            <wp:docPr id="8" name="Immagine 66" descr="Risultati immagini per immagini persone con interroga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isultati immagini per immagini persone con interrogativ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375">
        <w:rPr>
          <w:noProof/>
          <w:lang w:eastAsia="en-US"/>
        </w:rPr>
        <w:pict>
          <v:shape id="_x0000_s1033" type="#_x0000_t202" style="position:absolute;left:0;text-align:left;margin-left:-28.15pt;margin-top:29.55pt;width:191.9pt;height:79.7pt;z-index:251664384;mso-width-percent:400;mso-height-percent:200;mso-position-horizontal-relative:text;mso-position-vertical-relative:text;mso-width-percent:400;mso-height-percent:200;mso-width-relative:margin;mso-height-relative:margin" fillcolor="yellow">
            <v:textbox style="mso-fit-shape-to-text:t">
              <w:txbxContent>
                <w:p w:rsidR="004C5F12" w:rsidRPr="00530F55" w:rsidRDefault="004C5F12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 xml:space="preserve">Perché: La legge di stabilità 2015 e la Legge 107/2015 prevedono la chiusura delle graduatorie permanenti, validità procrastinata al 2018 </w:t>
                  </w:r>
                </w:p>
              </w:txbxContent>
            </v:textbox>
          </v:shape>
        </w:pict>
      </w:r>
      <w:r w:rsidR="00C85375" w:rsidRPr="00C85375">
        <w:rPr>
          <w:b/>
          <w:noProof/>
          <w:lang w:eastAsia="en-US"/>
        </w:rPr>
        <w:pict>
          <v:shape id="_x0000_s1036" type="#_x0000_t202" style="position:absolute;left:0;text-align:left;margin-left:231.3pt;margin-top:138.2pt;width:215.65pt;height:110.6pt;z-index:251670528;mso-height-percent:200;mso-position-horizontal-relative:text;mso-position-vertical-relative:text;mso-height-percent:200;mso-width-relative:margin;mso-height-relative:margin" fillcolor="#e36c0a [2409]">
            <v:textbox style="mso-fit-shape-to-text:t">
              <w:txbxContent>
                <w:p w:rsidR="00530F55" w:rsidRPr="00530F55" w:rsidRDefault="00530F55" w:rsidP="00530F55">
                  <w:pPr>
                    <w:jc w:val="both"/>
                    <w:rPr>
                      <w:b/>
                    </w:rPr>
                  </w:pPr>
                  <w:r w:rsidRPr="00530F55">
                    <w:rPr>
                      <w:b/>
                    </w:rPr>
                    <w:t xml:space="preserve">Cosa: I sindacati sostengono i diritti dei docenti, sia abilitati sia che abbiano maturato servizio nella scuola pubblica, chiedendone la stabilizzazione in riferimento alle sentenze della Corte Europea </w:t>
                  </w:r>
                </w:p>
              </w:txbxContent>
            </v:textbox>
          </v:shape>
        </w:pict>
      </w:r>
    </w:p>
    <w:sectPr w:rsidR="00ED09DA" w:rsidSect="00ED09DA">
      <w:footerReference w:type="default" r:id="rId14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A5" w:rsidRDefault="00984FA5" w:rsidP="004A1A53">
      <w:pPr>
        <w:spacing w:after="0" w:line="240" w:lineRule="auto"/>
      </w:pPr>
      <w:r>
        <w:separator/>
      </w:r>
    </w:p>
  </w:endnote>
  <w:endnote w:type="continuationSeparator" w:id="1">
    <w:p w:rsidR="00984FA5" w:rsidRDefault="00984FA5" w:rsidP="004A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53" w:rsidRPr="004A1A53" w:rsidRDefault="004A1A53" w:rsidP="004A1A53">
    <w:pPr>
      <w:spacing w:after="0"/>
      <w:rPr>
        <w:i/>
        <w:sz w:val="24"/>
        <w:szCs w:val="24"/>
      </w:rPr>
    </w:pPr>
    <w:r w:rsidRPr="004A1A53">
      <w:rPr>
        <w:i/>
        <w:sz w:val="24"/>
        <w:szCs w:val="24"/>
      </w:rPr>
      <w:t xml:space="preserve">     Ezio Falco</w:t>
    </w:r>
    <w:r w:rsidRPr="004A1A53">
      <w:rPr>
        <w:i/>
        <w:sz w:val="24"/>
        <w:szCs w:val="24"/>
      </w:rPr>
      <w:tab/>
      <w:t xml:space="preserve">              Domenico Maiorano</w:t>
    </w:r>
    <w:r w:rsidRPr="004A1A53">
      <w:rPr>
        <w:i/>
        <w:sz w:val="24"/>
        <w:szCs w:val="24"/>
      </w:rPr>
      <w:tab/>
    </w:r>
    <w:r w:rsidRPr="004A1A53">
      <w:rPr>
        <w:i/>
        <w:sz w:val="24"/>
        <w:szCs w:val="24"/>
      </w:rPr>
      <w:tab/>
      <w:t xml:space="preserve">      Carlo Callea</w:t>
    </w:r>
    <w:r w:rsidRPr="004A1A53">
      <w:rPr>
        <w:i/>
        <w:sz w:val="24"/>
        <w:szCs w:val="24"/>
      </w:rPr>
      <w:tab/>
      <w:t xml:space="preserve">       </w:t>
    </w:r>
    <w:r w:rsidRPr="004A1A53">
      <w:rPr>
        <w:i/>
        <w:sz w:val="24"/>
        <w:szCs w:val="24"/>
      </w:rPr>
      <w:tab/>
      <w:t xml:space="preserve">     Vito Lozito</w:t>
    </w:r>
    <w:r w:rsidRPr="004A1A53">
      <w:rPr>
        <w:i/>
        <w:sz w:val="24"/>
        <w:szCs w:val="24"/>
      </w:rPr>
      <w:tab/>
    </w:r>
  </w:p>
  <w:p w:rsidR="004A1A53" w:rsidRDefault="004A1A53" w:rsidP="004A1A53">
    <w:pPr>
      <w:pStyle w:val="Pidipagina"/>
    </w:pPr>
    <w:r w:rsidRPr="004A1A53">
      <w:rPr>
        <w:i/>
      </w:rPr>
      <w:t xml:space="preserve">       FLC Cgil                             Cisl Scuola</w:t>
    </w:r>
    <w:r w:rsidRPr="004A1A53">
      <w:rPr>
        <w:i/>
      </w:rPr>
      <w:tab/>
      <w:t xml:space="preserve">                                       Uil Scuola                                 </w:t>
    </w:r>
    <w:r>
      <w:rPr>
        <w:i/>
      </w:rPr>
      <w:t xml:space="preserve"> </w:t>
    </w:r>
    <w:r w:rsidRPr="004A1A53">
      <w:rPr>
        <w:i/>
      </w:rPr>
      <w:t xml:space="preserve"> Snals Confs</w:t>
    </w:r>
    <w:r>
      <w:rPr>
        <w:i/>
      </w:rPr>
      <w:t>a</w:t>
    </w:r>
    <w:r w:rsidRPr="004A1A53">
      <w:rPr>
        <w:i/>
      </w:rPr>
      <w:t>l</w:t>
    </w:r>
    <w:r>
      <w:tab/>
    </w:r>
    <w:r>
      <w:tab/>
    </w:r>
  </w:p>
  <w:p w:rsidR="004A1A53" w:rsidRDefault="004A1A53" w:rsidP="004A1A53">
    <w:pPr>
      <w:pStyle w:val="Pidipa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A5" w:rsidRDefault="00984FA5" w:rsidP="004A1A53">
      <w:pPr>
        <w:spacing w:after="0" w:line="240" w:lineRule="auto"/>
      </w:pPr>
      <w:r>
        <w:separator/>
      </w:r>
    </w:p>
  </w:footnote>
  <w:footnote w:type="continuationSeparator" w:id="1">
    <w:p w:rsidR="00984FA5" w:rsidRDefault="00984FA5" w:rsidP="004A1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63F"/>
    <w:rsid w:val="000C063F"/>
    <w:rsid w:val="0016695A"/>
    <w:rsid w:val="001B6BED"/>
    <w:rsid w:val="001F219B"/>
    <w:rsid w:val="00246CAE"/>
    <w:rsid w:val="002B4074"/>
    <w:rsid w:val="003071C6"/>
    <w:rsid w:val="00317877"/>
    <w:rsid w:val="004A1A53"/>
    <w:rsid w:val="004C2482"/>
    <w:rsid w:val="004C5F12"/>
    <w:rsid w:val="00530F55"/>
    <w:rsid w:val="005E15E4"/>
    <w:rsid w:val="006A5257"/>
    <w:rsid w:val="006E4599"/>
    <w:rsid w:val="007A0B99"/>
    <w:rsid w:val="008C3C63"/>
    <w:rsid w:val="008C4A9E"/>
    <w:rsid w:val="008C62C6"/>
    <w:rsid w:val="00906AB5"/>
    <w:rsid w:val="00984FA5"/>
    <w:rsid w:val="00A16B87"/>
    <w:rsid w:val="00B31DB5"/>
    <w:rsid w:val="00C349FE"/>
    <w:rsid w:val="00C35B15"/>
    <w:rsid w:val="00C67D68"/>
    <w:rsid w:val="00C85375"/>
    <w:rsid w:val="00D278DF"/>
    <w:rsid w:val="00D53057"/>
    <w:rsid w:val="00DB7C02"/>
    <w:rsid w:val="00EB3726"/>
    <w:rsid w:val="00ED09DA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95A"/>
  </w:style>
  <w:style w:type="paragraph" w:styleId="Titolo2">
    <w:name w:val="heading 2"/>
    <w:basedOn w:val="Normale"/>
    <w:link w:val="Titolo2Carattere"/>
    <w:uiPriority w:val="9"/>
    <w:qFormat/>
    <w:rsid w:val="000C0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C0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manotiziasinistra">
    <w:name w:val="temanotiziasinistra"/>
    <w:basedOn w:val="Carpredefinitoparagrafo"/>
    <w:rsid w:val="000C063F"/>
  </w:style>
  <w:style w:type="character" w:customStyle="1" w:styleId="apple-converted-space">
    <w:name w:val="apple-converted-space"/>
    <w:basedOn w:val="Carpredefinitoparagrafo"/>
    <w:rsid w:val="000C063F"/>
  </w:style>
  <w:style w:type="paragraph" w:styleId="NormaleWeb">
    <w:name w:val="Normal (Web)"/>
    <w:basedOn w:val="Normale"/>
    <w:uiPriority w:val="99"/>
    <w:semiHidden/>
    <w:unhideWhenUsed/>
    <w:rsid w:val="000C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C063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0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1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1A53"/>
  </w:style>
  <w:style w:type="paragraph" w:styleId="Pidipagina">
    <w:name w:val="footer"/>
    <w:basedOn w:val="Normale"/>
    <w:link w:val="PidipaginaCarattere"/>
    <w:uiPriority w:val="99"/>
    <w:unhideWhenUsed/>
    <w:rsid w:val="004A1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23</cp:revision>
  <cp:lastPrinted>2016-02-08T18:31:00Z</cp:lastPrinted>
  <dcterms:created xsi:type="dcterms:W3CDTF">2016-02-08T16:32:00Z</dcterms:created>
  <dcterms:modified xsi:type="dcterms:W3CDTF">2016-02-09T15:37:00Z</dcterms:modified>
</cp:coreProperties>
</file>